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Pr="00775D01" w:rsidRDefault="00775D01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Некоторые вопросы по выплате пенсий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190A" w:rsidRPr="001D190A" w:rsidRDefault="00232A2C" w:rsidP="001D190A">
      <w:pPr>
        <w:pStyle w:val="2"/>
        <w:rPr>
          <w:rFonts w:ascii="Times New Roman" w:hAnsi="Times New Roman" w:cs="Times New Roman"/>
          <w:sz w:val="28"/>
          <w:szCs w:val="28"/>
        </w:rPr>
      </w:pPr>
      <w:r>
        <w:tab/>
      </w:r>
      <w:r w:rsidR="001D190A" w:rsidRPr="001D190A">
        <w:rPr>
          <w:rStyle w:val="text-highlight"/>
          <w:rFonts w:ascii="Times New Roman" w:hAnsi="Times New Roman" w:cs="Times New Roman"/>
          <w:sz w:val="28"/>
          <w:szCs w:val="28"/>
        </w:rPr>
        <w:t>О порядке выплаты пенсии при смене места жительства.</w:t>
      </w:r>
    </w:p>
    <w:p w:rsidR="001D190A" w:rsidRPr="001D190A" w:rsidRDefault="001D190A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190A">
        <w:rPr>
          <w:sz w:val="26"/>
          <w:szCs w:val="26"/>
        </w:rPr>
        <w:t>При смене места жительства, для дальнейшего продолжения выплаты пенсии получателю необходимо обратиться с заявлением о запросе пенсионного дела непосредственно в районное Управление Пенсионного фонда РФ или в многофункциональный центр предоставления государственных и муниципальных услуг  по новому месту жительства. Кроме того подать заявление о запросе пенсионного дела можно через информационную систему ПФР «Личный кабинет гражданина».</w:t>
      </w:r>
    </w:p>
    <w:p w:rsidR="001D190A" w:rsidRPr="001D190A" w:rsidRDefault="001D190A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190A">
        <w:rPr>
          <w:sz w:val="26"/>
          <w:szCs w:val="26"/>
        </w:rPr>
        <w:t>Заявление и документы можно представить лично, через представителя или по почте.    </w:t>
      </w:r>
    </w:p>
    <w:p w:rsidR="001D190A" w:rsidRPr="001D190A" w:rsidRDefault="001D190A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190A">
        <w:rPr>
          <w:sz w:val="26"/>
          <w:szCs w:val="26"/>
        </w:rPr>
        <w:t>Если получателем пенсии является несовершеннолетнее или недееспособное лицо, заявление о запросе пенсионного дела подается его законным представителем: родителем, усыновителем, опекуном, попечителем. В случае, когда законным представителем несовершеннолетнего или недееспособного лица является соответствующее учреждение, в котором несовершеннолетнее или недееспособное лицо пребывает, то заявление подается администрацией учреждения в территориальный орган ПФР по месту нахождения этого учреждения.    </w:t>
      </w:r>
    </w:p>
    <w:p w:rsidR="001D190A" w:rsidRDefault="001D190A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190A">
        <w:rPr>
          <w:sz w:val="26"/>
          <w:szCs w:val="26"/>
        </w:rPr>
        <w:t>Смена места жительства, без снятия с регистрационного учета, не препятствует получению  пенсии по новому адресу. В таком случае в заявлении необходимо указать сведения об адресе места фактического проживания.</w:t>
      </w:r>
    </w:p>
    <w:p w:rsidR="001D190A" w:rsidRDefault="001D190A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D190A" w:rsidRPr="001D190A" w:rsidRDefault="001D190A" w:rsidP="001D190A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 w:rsidRPr="001D190A">
        <w:rPr>
          <w:rStyle w:val="text-highlight"/>
          <w:rFonts w:ascii="Times New Roman" w:hAnsi="Times New Roman" w:cs="Times New Roman"/>
          <w:sz w:val="28"/>
          <w:szCs w:val="28"/>
        </w:rPr>
        <w:t>Выплата пенсии по доверенности</w:t>
      </w:r>
    </w:p>
    <w:p w:rsidR="001D190A" w:rsidRPr="001D190A" w:rsidRDefault="001D190A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D190A" w:rsidRPr="001D190A" w:rsidRDefault="001D190A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190A">
        <w:rPr>
          <w:sz w:val="26"/>
          <w:szCs w:val="26"/>
        </w:rPr>
        <w:t xml:space="preserve">В случае длительного отсутствия, можно не переводить пенсионное дело по месту временного пребывания, а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гражданину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  хотя бы один </w:t>
      </w:r>
      <w:r>
        <w:rPr>
          <w:sz w:val="26"/>
          <w:szCs w:val="26"/>
        </w:rPr>
        <w:t>раз</w:t>
      </w:r>
      <w:r w:rsidRPr="001D190A">
        <w:rPr>
          <w:sz w:val="26"/>
          <w:szCs w:val="26"/>
        </w:rPr>
        <w:t>.</w:t>
      </w:r>
    </w:p>
    <w:p w:rsidR="001D190A" w:rsidRDefault="001D190A" w:rsidP="001D190A">
      <w:pPr>
        <w:pStyle w:val="1"/>
        <w:spacing w:before="0" w:line="240" w:lineRule="auto"/>
        <w:jc w:val="both"/>
        <w:rPr>
          <w:sz w:val="26"/>
          <w:szCs w:val="26"/>
        </w:rPr>
      </w:pPr>
    </w:p>
    <w:p w:rsidR="001D190A" w:rsidRPr="001D190A" w:rsidRDefault="001D190A" w:rsidP="001D190A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FF0000"/>
        </w:rPr>
      </w:pPr>
      <w:r w:rsidRPr="001D190A">
        <w:rPr>
          <w:rFonts w:ascii="Times New Roman" w:hAnsi="Times New Roman" w:cs="Times New Roman"/>
          <w:color w:val="4F81BD" w:themeColor="accent1"/>
        </w:rPr>
        <w:t>Неполученные пенсии в связи со смертью пенсионера</w:t>
      </w:r>
    </w:p>
    <w:p w:rsidR="001D190A" w:rsidRPr="007C5145" w:rsidRDefault="001D190A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190A" w:rsidRPr="008758B6" w:rsidRDefault="001D190A" w:rsidP="001D1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</w:t>
      </w:r>
      <w:r w:rsidRPr="00A6022B">
        <w:rPr>
          <w:rFonts w:ascii="Times New Roman" w:hAnsi="Times New Roman" w:cs="Times New Roman"/>
          <w:sz w:val="26"/>
          <w:szCs w:val="26"/>
        </w:rPr>
        <w:t xml:space="preserve">ачисленные суммы  пенсии, причитавшиеся пенсионеру в текущем месяце и оставшиеся не полученными в связи с его смертью в указанном месяце, выплачиваются </w:t>
      </w:r>
      <w:r>
        <w:rPr>
          <w:rFonts w:ascii="Times New Roman" w:hAnsi="Times New Roman" w:cs="Times New Roman"/>
          <w:sz w:val="26"/>
          <w:szCs w:val="26"/>
        </w:rPr>
        <w:t>членам семьи умершего</w:t>
      </w:r>
      <w:r w:rsidRPr="00A6022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которые</w:t>
      </w:r>
      <w:r w:rsidRPr="00A6022B">
        <w:rPr>
          <w:rFonts w:ascii="Times New Roman" w:hAnsi="Times New Roman" w:cs="Times New Roman"/>
          <w:sz w:val="26"/>
          <w:szCs w:val="26"/>
        </w:rPr>
        <w:t xml:space="preserve"> проживали совместно с этим</w:t>
      </w:r>
      <w:r>
        <w:rPr>
          <w:rFonts w:ascii="Times New Roman" w:hAnsi="Times New Roman" w:cs="Times New Roman"/>
          <w:sz w:val="26"/>
          <w:szCs w:val="26"/>
        </w:rPr>
        <w:t xml:space="preserve"> пенсионером на день его смерти.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D190A" w:rsidRPr="002261EE" w:rsidRDefault="001D190A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1EE">
        <w:rPr>
          <w:rFonts w:ascii="Times New Roman" w:hAnsi="Times New Roman" w:cs="Times New Roman"/>
          <w:sz w:val="26"/>
          <w:szCs w:val="26"/>
        </w:rPr>
        <w:t>К заявлению о выплате начисленных сумм пенсии, причитавшихся пенсионеру и оставшихся неполученными в связи с его смертью, прилагаются следующие документы:</w:t>
      </w:r>
    </w:p>
    <w:p w:rsidR="001D190A" w:rsidRPr="002261EE" w:rsidRDefault="001D190A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1EE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свидетельство и справка о смерти п</w:t>
      </w:r>
      <w:r w:rsidRPr="002261EE">
        <w:rPr>
          <w:rFonts w:ascii="Times New Roman" w:hAnsi="Times New Roman" w:cs="Times New Roman"/>
          <w:sz w:val="26"/>
          <w:szCs w:val="26"/>
        </w:rPr>
        <w:t>енсионера;</w:t>
      </w:r>
    </w:p>
    <w:p w:rsidR="001D190A" w:rsidRPr="002261EE" w:rsidRDefault="001D190A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1EE">
        <w:rPr>
          <w:rFonts w:ascii="Times New Roman" w:hAnsi="Times New Roman" w:cs="Times New Roman"/>
          <w:sz w:val="26"/>
          <w:szCs w:val="26"/>
        </w:rPr>
        <w:t>б) о родственных отношениях с умершим пенсионером;</w:t>
      </w:r>
    </w:p>
    <w:p w:rsidR="001D190A" w:rsidRDefault="001D190A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1EE">
        <w:rPr>
          <w:rFonts w:ascii="Times New Roman" w:hAnsi="Times New Roman" w:cs="Times New Roman"/>
          <w:sz w:val="26"/>
          <w:szCs w:val="26"/>
        </w:rPr>
        <w:lastRenderedPageBreak/>
        <w:t>в) о совместном проживании с умершим пенсионером на день смерти;</w:t>
      </w:r>
    </w:p>
    <w:p w:rsidR="007830BB" w:rsidRDefault="007830BB" w:rsidP="0078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Такое обращение </w:t>
      </w:r>
      <w:r w:rsidRPr="00A6022B">
        <w:rPr>
          <w:rFonts w:ascii="Times New Roman" w:hAnsi="Times New Roman" w:cs="Times New Roman"/>
          <w:sz w:val="26"/>
          <w:szCs w:val="26"/>
        </w:rPr>
        <w:t xml:space="preserve"> за неполученными суммами указанной пенсии </w:t>
      </w:r>
      <w:r>
        <w:rPr>
          <w:rFonts w:ascii="Times New Roman" w:hAnsi="Times New Roman" w:cs="Times New Roman"/>
          <w:sz w:val="26"/>
          <w:szCs w:val="26"/>
        </w:rPr>
        <w:t xml:space="preserve">должно последовать </w:t>
      </w:r>
      <w:r w:rsidRPr="00A6022B">
        <w:rPr>
          <w:rFonts w:ascii="Times New Roman" w:hAnsi="Times New Roman" w:cs="Times New Roman"/>
          <w:sz w:val="26"/>
          <w:szCs w:val="26"/>
        </w:rPr>
        <w:t>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022B">
        <w:rPr>
          <w:rFonts w:ascii="Times New Roman" w:hAnsi="Times New Roman" w:cs="Times New Roman"/>
          <w:sz w:val="26"/>
          <w:szCs w:val="26"/>
        </w:rPr>
        <w:t xml:space="preserve"> чем до истечения шести месяцев со дня смерти пенсионера. </w:t>
      </w:r>
      <w:r>
        <w:rPr>
          <w:rFonts w:ascii="Times New Roman" w:hAnsi="Times New Roman" w:cs="Times New Roman"/>
          <w:sz w:val="26"/>
          <w:szCs w:val="26"/>
        </w:rPr>
        <w:t xml:space="preserve">По истечении этого срока за указанными суммами могут обратиться </w:t>
      </w:r>
      <w:r w:rsidRPr="008758B6">
        <w:rPr>
          <w:rFonts w:ascii="Times New Roman" w:hAnsi="Times New Roman" w:cs="Times New Roman"/>
          <w:sz w:val="26"/>
          <w:szCs w:val="26"/>
        </w:rPr>
        <w:t>наследник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758B6">
        <w:rPr>
          <w:rFonts w:ascii="Times New Roman" w:hAnsi="Times New Roman" w:cs="Times New Roman"/>
          <w:sz w:val="26"/>
          <w:szCs w:val="26"/>
        </w:rPr>
        <w:t xml:space="preserve"> умершего по свид</w:t>
      </w:r>
      <w:r>
        <w:rPr>
          <w:rFonts w:ascii="Times New Roman" w:hAnsi="Times New Roman" w:cs="Times New Roman"/>
          <w:sz w:val="26"/>
          <w:szCs w:val="26"/>
        </w:rPr>
        <w:t xml:space="preserve">етельству о праве на наследство. </w:t>
      </w:r>
      <w:r w:rsidRPr="008758B6">
        <w:rPr>
          <w:rFonts w:ascii="Times New Roman" w:hAnsi="Times New Roman" w:cs="Times New Roman"/>
          <w:sz w:val="26"/>
          <w:szCs w:val="26"/>
        </w:rPr>
        <w:t xml:space="preserve">При обращении нескольких членов семьи за указанными суммами  </w:t>
      </w:r>
      <w:proofErr w:type="gramStart"/>
      <w:r w:rsidRPr="008758B6">
        <w:rPr>
          <w:rFonts w:ascii="Times New Roman" w:hAnsi="Times New Roman" w:cs="Times New Roman"/>
          <w:sz w:val="26"/>
          <w:szCs w:val="26"/>
        </w:rPr>
        <w:t>пенсии, причитающиеся им суммы пенсии делятся</w:t>
      </w:r>
      <w:proofErr w:type="gramEnd"/>
      <w:r w:rsidRPr="008758B6">
        <w:rPr>
          <w:rFonts w:ascii="Times New Roman" w:hAnsi="Times New Roman" w:cs="Times New Roman"/>
          <w:sz w:val="26"/>
          <w:szCs w:val="26"/>
        </w:rPr>
        <w:t xml:space="preserve"> между ними поровну.</w:t>
      </w:r>
    </w:p>
    <w:p w:rsidR="001D190A" w:rsidRPr="002261EE" w:rsidRDefault="007830BB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требуется</w:t>
      </w:r>
      <w:r w:rsidR="001D190A" w:rsidRPr="002261EE">
        <w:rPr>
          <w:rFonts w:ascii="Times New Roman" w:hAnsi="Times New Roman" w:cs="Times New Roman"/>
          <w:sz w:val="26"/>
          <w:szCs w:val="26"/>
        </w:rPr>
        <w:t xml:space="preserve"> свидетельство о праве на наследство - для подтверждения права наследования начисленных сумм пенсии, причитавшихся гражданину и оставшихся не полученными в связи с его смертью.</w:t>
      </w:r>
    </w:p>
    <w:p w:rsidR="001D190A" w:rsidRDefault="001D190A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1EE">
        <w:rPr>
          <w:rFonts w:ascii="Times New Roman" w:hAnsi="Times New Roman" w:cs="Times New Roman"/>
          <w:sz w:val="26"/>
          <w:szCs w:val="26"/>
        </w:rPr>
        <w:t>К заявлению о выдаче справки о суммах пенсии, не выплаченных при жизни пенсионеру, представляется запрос нотариуса.</w:t>
      </w:r>
    </w:p>
    <w:p w:rsidR="001D190A" w:rsidRDefault="001D190A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истечении трех лет  суммы пенсии, </w:t>
      </w:r>
      <w:r w:rsidRPr="00A6022B">
        <w:rPr>
          <w:rFonts w:ascii="Times New Roman" w:hAnsi="Times New Roman" w:cs="Times New Roman"/>
          <w:sz w:val="26"/>
          <w:szCs w:val="26"/>
        </w:rPr>
        <w:t>причитавш</w:t>
      </w:r>
      <w:r>
        <w:rPr>
          <w:rFonts w:ascii="Times New Roman" w:hAnsi="Times New Roman" w:cs="Times New Roman"/>
          <w:sz w:val="26"/>
          <w:szCs w:val="26"/>
        </w:rPr>
        <w:t>иеся</w:t>
      </w:r>
      <w:r w:rsidRPr="00A6022B">
        <w:rPr>
          <w:rFonts w:ascii="Times New Roman" w:hAnsi="Times New Roman" w:cs="Times New Roman"/>
          <w:sz w:val="26"/>
          <w:szCs w:val="26"/>
        </w:rPr>
        <w:t xml:space="preserve"> пенсионеру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022B">
        <w:rPr>
          <w:rFonts w:ascii="Times New Roman" w:hAnsi="Times New Roman" w:cs="Times New Roman"/>
          <w:sz w:val="26"/>
          <w:szCs w:val="26"/>
        </w:rPr>
        <w:t>оставш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6022B">
        <w:rPr>
          <w:rFonts w:ascii="Times New Roman" w:hAnsi="Times New Roman" w:cs="Times New Roman"/>
          <w:sz w:val="26"/>
          <w:szCs w:val="26"/>
        </w:rPr>
        <w:t>еся неполученн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A6022B">
        <w:rPr>
          <w:rFonts w:ascii="Times New Roman" w:hAnsi="Times New Roman" w:cs="Times New Roman"/>
          <w:sz w:val="26"/>
          <w:szCs w:val="26"/>
        </w:rPr>
        <w:t xml:space="preserve"> в связи с его смертью</w:t>
      </w:r>
      <w:r>
        <w:rPr>
          <w:rFonts w:ascii="Times New Roman" w:hAnsi="Times New Roman" w:cs="Times New Roman"/>
          <w:sz w:val="26"/>
          <w:szCs w:val="26"/>
        </w:rPr>
        <w:t xml:space="preserve">, списываются в бюджет Пенсионного фонда. </w:t>
      </w:r>
    </w:p>
    <w:p w:rsidR="008D385E" w:rsidRDefault="008D385E" w:rsidP="001D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385E" w:rsidRPr="008D385E" w:rsidRDefault="008D385E" w:rsidP="008D385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D385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 выплате пенсии по случаю потери кормильца детям, достигшим возраста 18 лет и старше</w:t>
      </w:r>
    </w:p>
    <w:p w:rsidR="008D385E" w:rsidRPr="008D385E" w:rsidRDefault="008D385E" w:rsidP="008D38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D385E" w:rsidRPr="008D385E" w:rsidRDefault="008D385E" w:rsidP="008D38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85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8D385E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10 </w:t>
      </w:r>
      <w:r w:rsidRPr="008D385E">
        <w:rPr>
          <w:rFonts w:ascii="Times New Roman" w:hAnsi="Times New Roman" w:cs="Times New Roman"/>
          <w:sz w:val="26"/>
          <w:szCs w:val="26"/>
        </w:rPr>
        <w:t xml:space="preserve"> Федерального закона         от 28 декабря 2013 № 400-ФЗ     «О стр</w:t>
      </w:r>
      <w:r w:rsidRPr="008D385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ховых пенсиях»</w:t>
      </w:r>
      <w:r w:rsidRPr="008D385E">
        <w:rPr>
          <w:rFonts w:ascii="Times New Roman" w:hAnsi="Times New Roman" w:cs="Times New Roman"/>
          <w:sz w:val="26"/>
          <w:szCs w:val="26"/>
        </w:rPr>
        <w:t xml:space="preserve"> право на страховую пенсию по случаю потери кормильца имеют нетрудоспособные члены семьи умершего, в том числе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в организациях, осуществляющих образовательную</w:t>
      </w:r>
      <w:proofErr w:type="gramEnd"/>
      <w:r w:rsidRPr="008D385E">
        <w:rPr>
          <w:rFonts w:ascii="Times New Roman" w:hAnsi="Times New Roman" w:cs="Times New Roman"/>
          <w:sz w:val="26"/>
          <w:szCs w:val="26"/>
        </w:rPr>
        <w:t xml:space="preserve"> деятельность по основным образовательным программам, до окончания ими обучения, но не дольше, чем до достижения возраста 23 лет. </w:t>
      </w:r>
      <w:r w:rsidRPr="008D385E">
        <w:rPr>
          <w:rFonts w:ascii="Times New Roman" w:hAnsi="Times New Roman" w:cs="Times New Roman"/>
          <w:sz w:val="26"/>
          <w:szCs w:val="26"/>
        </w:rPr>
        <w:tab/>
      </w:r>
    </w:p>
    <w:p w:rsidR="008D385E" w:rsidRPr="008F4E34" w:rsidRDefault="008D385E" w:rsidP="008D38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85E">
        <w:rPr>
          <w:rFonts w:ascii="Times New Roman" w:hAnsi="Times New Roman" w:cs="Times New Roman"/>
          <w:sz w:val="26"/>
          <w:szCs w:val="26"/>
        </w:rPr>
        <w:tab/>
      </w:r>
      <w:r w:rsidRPr="008F4E34">
        <w:rPr>
          <w:rFonts w:ascii="Times New Roman" w:hAnsi="Times New Roman" w:cs="Times New Roman"/>
          <w:sz w:val="26"/>
          <w:szCs w:val="26"/>
        </w:rPr>
        <w:t>Если на день совершеннолетия, сведения об учебе в орган, выплачивающий  пенсию, не поступили, выплата пенсии приостанавливается (прекращается).</w:t>
      </w:r>
      <w:r w:rsidRPr="008F4E34">
        <w:rPr>
          <w:rFonts w:ascii="Times New Roman" w:hAnsi="Times New Roman" w:cs="Times New Roman"/>
          <w:sz w:val="26"/>
          <w:szCs w:val="26"/>
        </w:rPr>
        <w:tab/>
      </w:r>
    </w:p>
    <w:p w:rsidR="008D385E" w:rsidRPr="008D385E" w:rsidRDefault="008D385E" w:rsidP="008D38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E3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F4E34">
        <w:rPr>
          <w:rFonts w:ascii="Times New Roman" w:hAnsi="Times New Roman" w:cs="Times New Roman"/>
          <w:sz w:val="26"/>
          <w:szCs w:val="26"/>
        </w:rPr>
        <w:t>При поступлении справки об учебе, подтверждающей факт обучения на дату достижения возраста 18 лет, выплата пенсии возобновляется</w:t>
      </w:r>
      <w:r w:rsidRPr="008D385E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Pr="008D385E">
        <w:rPr>
          <w:rFonts w:ascii="Times New Roman" w:hAnsi="Times New Roman" w:cs="Times New Roman"/>
          <w:iCs/>
          <w:sz w:val="26"/>
          <w:szCs w:val="26"/>
        </w:rPr>
        <w:t>со дня ее прекращения</w:t>
      </w:r>
      <w:r w:rsidRPr="008D385E">
        <w:rPr>
          <w:rFonts w:ascii="Times New Roman" w:hAnsi="Times New Roman" w:cs="Times New Roman"/>
          <w:sz w:val="26"/>
          <w:szCs w:val="26"/>
        </w:rPr>
        <w:t xml:space="preserve"> и </w:t>
      </w:r>
      <w:r w:rsidRPr="008D385E">
        <w:rPr>
          <w:rFonts w:ascii="Times New Roman" w:hAnsi="Times New Roman" w:cs="Times New Roman"/>
          <w:iCs/>
          <w:sz w:val="26"/>
          <w:szCs w:val="26"/>
        </w:rPr>
        <w:t>до окончания обучения, но не долее дня, предшествующему дню достижения возраста 23 лет, при условии, что на момент обращения в распоряжении</w:t>
      </w:r>
      <w:r w:rsidRPr="008D385E">
        <w:rPr>
          <w:rFonts w:ascii="Times New Roman" w:hAnsi="Times New Roman" w:cs="Times New Roman"/>
          <w:sz w:val="26"/>
          <w:szCs w:val="26"/>
        </w:rPr>
        <w:t xml:space="preserve"> </w:t>
      </w:r>
      <w:r w:rsidR="008F4E34">
        <w:rPr>
          <w:rFonts w:ascii="Times New Roman" w:hAnsi="Times New Roman" w:cs="Times New Roman"/>
          <w:sz w:val="26"/>
          <w:szCs w:val="26"/>
        </w:rPr>
        <w:t>Управления</w:t>
      </w:r>
      <w:r w:rsidRPr="008D385E">
        <w:rPr>
          <w:rFonts w:ascii="Times New Roman" w:hAnsi="Times New Roman" w:cs="Times New Roman"/>
          <w:sz w:val="26"/>
          <w:szCs w:val="26"/>
        </w:rPr>
        <w:t xml:space="preserve"> ПФР</w:t>
      </w:r>
      <w:r w:rsidRPr="008D385E">
        <w:rPr>
          <w:rFonts w:ascii="Times New Roman" w:hAnsi="Times New Roman" w:cs="Times New Roman"/>
          <w:iCs/>
          <w:sz w:val="26"/>
          <w:szCs w:val="26"/>
        </w:rPr>
        <w:t xml:space="preserve"> имеются </w:t>
      </w:r>
      <w:r w:rsidRPr="008D385E">
        <w:rPr>
          <w:rFonts w:ascii="Times New Roman" w:hAnsi="Times New Roman" w:cs="Times New Roman"/>
          <w:sz w:val="26"/>
          <w:szCs w:val="26"/>
        </w:rPr>
        <w:t>документы подтверждающие, что гражданин не утрачивал права на пенсию по случаю потери</w:t>
      </w:r>
      <w:proofErr w:type="gramEnd"/>
      <w:r w:rsidRPr="008D385E">
        <w:rPr>
          <w:rFonts w:ascii="Times New Roman" w:hAnsi="Times New Roman" w:cs="Times New Roman"/>
          <w:sz w:val="26"/>
          <w:szCs w:val="26"/>
        </w:rPr>
        <w:t xml:space="preserve"> кормил</w:t>
      </w:r>
      <w:r w:rsidRPr="008D385E">
        <w:rPr>
          <w:rFonts w:ascii="Times New Roman" w:hAnsi="Times New Roman" w:cs="Times New Roman"/>
          <w:sz w:val="26"/>
          <w:szCs w:val="26"/>
        </w:rPr>
        <w:t>ь</w:t>
      </w:r>
      <w:r w:rsidRPr="008D385E">
        <w:rPr>
          <w:rFonts w:ascii="Times New Roman" w:hAnsi="Times New Roman" w:cs="Times New Roman"/>
          <w:sz w:val="26"/>
          <w:szCs w:val="26"/>
        </w:rPr>
        <w:t>ца.</w:t>
      </w:r>
      <w:r w:rsidRPr="008D385E">
        <w:rPr>
          <w:rFonts w:ascii="Times New Roman" w:hAnsi="Times New Roman" w:cs="Times New Roman"/>
          <w:sz w:val="26"/>
          <w:szCs w:val="26"/>
        </w:rPr>
        <w:tab/>
      </w:r>
    </w:p>
    <w:p w:rsidR="008D385E" w:rsidRDefault="008D385E" w:rsidP="008F4E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85E">
        <w:rPr>
          <w:rFonts w:ascii="Times New Roman" w:hAnsi="Times New Roman" w:cs="Times New Roman"/>
          <w:sz w:val="26"/>
          <w:szCs w:val="26"/>
        </w:rPr>
        <w:tab/>
      </w:r>
    </w:p>
    <w:p w:rsidR="008F4E34" w:rsidRPr="009E4CB9" w:rsidRDefault="008F4E34" w:rsidP="008F4E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E4CB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 банковской карте «МИР»</w:t>
      </w:r>
      <w:bookmarkStart w:id="0" w:name="_GoBack"/>
      <w:bookmarkEnd w:id="0"/>
    </w:p>
    <w:p w:rsidR="008F4E34" w:rsidRDefault="008F4E34" w:rsidP="008F4E3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F4E34" w:rsidRPr="008F4E34" w:rsidRDefault="008F4E34" w:rsidP="008F4E34">
      <w:pPr>
        <w:tabs>
          <w:tab w:val="left" w:pos="10348"/>
        </w:tabs>
        <w:suppressAutoHyphens/>
        <w:spacing w:after="0" w:line="240" w:lineRule="auto"/>
        <w:ind w:right="4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F4E34">
        <w:rPr>
          <w:rFonts w:ascii="Times New Roman" w:hAnsi="Times New Roman" w:cs="Times New Roman"/>
          <w:color w:val="000000"/>
          <w:sz w:val="26"/>
          <w:szCs w:val="26"/>
        </w:rPr>
        <w:t>1 июля 2020 года закончится отведенный Законом о платежной системе переходный период по переводу пенсий и иных социальных выплат на карты «Мир».</w:t>
      </w:r>
    </w:p>
    <w:p w:rsidR="008F4E34" w:rsidRPr="008F4E34" w:rsidRDefault="008F4E34" w:rsidP="008F4E34">
      <w:pPr>
        <w:tabs>
          <w:tab w:val="left" w:pos="10348"/>
        </w:tabs>
        <w:suppressAutoHyphens/>
        <w:spacing w:after="0" w:line="240" w:lineRule="auto"/>
        <w:ind w:right="4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F4E34">
        <w:rPr>
          <w:rFonts w:ascii="Times New Roman" w:hAnsi="Times New Roman" w:cs="Times New Roman"/>
          <w:color w:val="000000"/>
          <w:sz w:val="26"/>
          <w:szCs w:val="26"/>
        </w:rPr>
        <w:t>Переходный период сохранится пока у тех пенсионеров, кто уже имеет карты иных платежных систем, которые можно сменить на карты «МИР» по истечении срока их действия, но не позднее 1 июля 2020 года.</w:t>
      </w:r>
    </w:p>
    <w:p w:rsidR="008F4E34" w:rsidRPr="008F4E34" w:rsidRDefault="008F4E34" w:rsidP="008F4E34">
      <w:pPr>
        <w:tabs>
          <w:tab w:val="left" w:pos="10348"/>
        </w:tabs>
        <w:suppressAutoHyphens/>
        <w:spacing w:after="0" w:line="240" w:lineRule="auto"/>
        <w:ind w:right="47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8F4E34">
        <w:rPr>
          <w:rFonts w:ascii="Times New Roman" w:hAnsi="Times New Roman" w:cs="Times New Roman"/>
          <w:color w:val="000000"/>
          <w:sz w:val="26"/>
          <w:szCs w:val="26"/>
        </w:rPr>
        <w:t xml:space="preserve">При очередной замене  банковской карты номер счета не изменяется, следовательно, подавать в территориальный орган ПФР заявление о доставке пенсии и иных социальных выплат на карту «МИР»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этом случае </w:t>
      </w:r>
      <w:r w:rsidRPr="008F4E34">
        <w:rPr>
          <w:rFonts w:ascii="Times New Roman" w:hAnsi="Times New Roman" w:cs="Times New Roman"/>
          <w:color w:val="000000"/>
          <w:sz w:val="26"/>
          <w:szCs w:val="26"/>
        </w:rPr>
        <w:t>не требуется.</w:t>
      </w:r>
    </w:p>
    <w:p w:rsidR="001D190A" w:rsidRPr="008F4E34" w:rsidRDefault="001D190A" w:rsidP="008F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190A" w:rsidRPr="008F4E34" w:rsidRDefault="001D190A" w:rsidP="008F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190A" w:rsidRPr="008F4E34" w:rsidRDefault="001D190A" w:rsidP="008F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190A" w:rsidRPr="008F4E34" w:rsidRDefault="001D190A" w:rsidP="008F4E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90A" w:rsidRPr="008F4E34" w:rsidRDefault="001D190A" w:rsidP="008F4E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702" w:rsidRPr="00A014D2" w:rsidRDefault="006B1702" w:rsidP="001D190A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6B1702" w:rsidRPr="00A014D2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5pt;height:11.55pt" o:bullet="t">
        <v:imagedata r:id="rId1" o:title="BD14565_"/>
      </v:shape>
    </w:pict>
  </w:numPicBullet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17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18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1D190A"/>
    <w:rsid w:val="00210FD2"/>
    <w:rsid w:val="00231C41"/>
    <w:rsid w:val="00232A2C"/>
    <w:rsid w:val="00263C91"/>
    <w:rsid w:val="0028170F"/>
    <w:rsid w:val="002F6ADC"/>
    <w:rsid w:val="00316F90"/>
    <w:rsid w:val="003C02EB"/>
    <w:rsid w:val="0048575C"/>
    <w:rsid w:val="00512579"/>
    <w:rsid w:val="0054259B"/>
    <w:rsid w:val="00611C6F"/>
    <w:rsid w:val="006B1702"/>
    <w:rsid w:val="006B2A7E"/>
    <w:rsid w:val="006F25C7"/>
    <w:rsid w:val="0072772B"/>
    <w:rsid w:val="00775D01"/>
    <w:rsid w:val="007830BB"/>
    <w:rsid w:val="007C5145"/>
    <w:rsid w:val="00810542"/>
    <w:rsid w:val="00822074"/>
    <w:rsid w:val="00825F0E"/>
    <w:rsid w:val="0085558F"/>
    <w:rsid w:val="008651B6"/>
    <w:rsid w:val="008B6678"/>
    <w:rsid w:val="008C3C76"/>
    <w:rsid w:val="008D385E"/>
    <w:rsid w:val="008F4E34"/>
    <w:rsid w:val="00950DAA"/>
    <w:rsid w:val="0095694E"/>
    <w:rsid w:val="00967BA0"/>
    <w:rsid w:val="00972E9F"/>
    <w:rsid w:val="009E4CB9"/>
    <w:rsid w:val="009F3816"/>
    <w:rsid w:val="00A014D2"/>
    <w:rsid w:val="00A26C66"/>
    <w:rsid w:val="00A374AE"/>
    <w:rsid w:val="00A440C9"/>
    <w:rsid w:val="00A61628"/>
    <w:rsid w:val="00AA2B52"/>
    <w:rsid w:val="00AA7B3D"/>
    <w:rsid w:val="00AD240E"/>
    <w:rsid w:val="00B0529B"/>
    <w:rsid w:val="00BD7FD3"/>
    <w:rsid w:val="00BF4FEB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1">
    <w:name w:val="Body Text Indent 2"/>
    <w:basedOn w:val="a"/>
    <w:link w:val="22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0">
    <w:name w:val="Заголовок 2 Знак"/>
    <w:basedOn w:val="a0"/>
    <w:link w:val="2"/>
    <w:uiPriority w:val="9"/>
    <w:semiHidden/>
    <w:rsid w:val="001D1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7830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1">
    <w:name w:val="Body Text Indent 2"/>
    <w:basedOn w:val="a"/>
    <w:link w:val="22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0">
    <w:name w:val="Заголовок 2 Знак"/>
    <w:basedOn w:val="a0"/>
    <w:link w:val="2"/>
    <w:uiPriority w:val="9"/>
    <w:semiHidden/>
    <w:rsid w:val="001D1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7830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1B1E-30C3-4018-BA93-24FAB7FD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2020-02-03T11:30:00Z</dcterms:created>
  <dcterms:modified xsi:type="dcterms:W3CDTF">2020-02-03T11:30:00Z</dcterms:modified>
</cp:coreProperties>
</file>