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32"/>
          <w:i/>
          <w:b/>
          <w:sz w:val="32"/>
          <w:i/>
          <w:b/>
          <w:szCs w:val="32"/>
          <w:bCs/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FF0000"/>
          <w:sz w:val="32"/>
          <w:szCs w:val="32"/>
          <w:lang w:eastAsia="ru-RU"/>
        </w:rPr>
        <w:t>Социальные пенсии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учреждение - Управление Пенсионного фонда Российской федерации в Россошанском районе Воронежской области (межрайонное) напоминает, что п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раво на социальную пенсию имеют постоянно проживающие в Российской Федерации нетрудоспособные граждане. Условие постоянного проживания на территории Российской Федерации является основополагающим и распространяется на все категории граждан, имеющих право на социальную пенсию.</w:t>
      </w:r>
      <w:r/>
    </w:p>
    <w:p>
      <w:pPr>
        <w:pStyle w:val="Normal"/>
        <w:spacing w:lineRule="auto" w:line="240" w:beforeAutospacing="1" w:afterAutospacing="1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Документом, подтверждающим место жительства гражданина Российской Федерации, является паспорт гражданина Российской Федерации, с отметкой о регистрации по месту жительства, а для лиц, не достигших 14-летнего возраста – свидетельство о регистрации по месту жительства, выданное территориальным органом Федеральной миграционной службы.</w:t>
      </w:r>
      <w:r/>
    </w:p>
    <w:p>
      <w:pPr>
        <w:pStyle w:val="Normal"/>
        <w:spacing w:lineRule="auto" w:line="240" w:beforeAutospacing="1" w:afterAutospacing="1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Социальные пенсии устанавливаются нетрудоспособным гражданам, не имеющим права на страховую пенсию в связи с отсутствием требуемого страхового стажа и (или) величины индивидуального пенсионного коэффициента.</w:t>
      </w:r>
      <w:r/>
    </w:p>
    <w:p>
      <w:pPr>
        <w:pStyle w:val="Normal"/>
        <w:spacing w:lineRule="auto" w:line="240" w:beforeAutospacing="1" w:afterAutospacing="1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Факт оплачиваемой трудовой деятельности на выплату социальной пенсии не влияет, за исключением социальной пенсии, назначенной гражданам, достигшим возраста 65 и 60 лет (соответственно мужчины и женщины).</w:t>
      </w:r>
      <w:r/>
    </w:p>
    <w:p>
      <w:pPr>
        <w:pStyle w:val="Normal"/>
        <w:spacing w:lineRule="auto" w:line="240" w:beforeAutospacing="1" w:afterAutospacing="1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Размер социальной пенсии с  01.04.2018 года составляет:</w:t>
      </w:r>
      <w:r/>
    </w:p>
    <w:tbl>
      <w:tblPr>
        <w:tblW w:w="909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2"/>
        <w:gridCol w:w="1529"/>
      </w:tblGrid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пенсия по старости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Граждане, достигшие 65 и 60 лет (мужчины и женщины соответственно)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5 180,24 руб.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инвалидности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0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Инвалиды I группы и Инвалиды II группы (с детства)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10 360,52 руб.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Инвалиды II группы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5 180,24 руб.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Инвалиды III группы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4 403,24 руб.</w:t>
            </w:r>
            <w:r/>
          </w:p>
        </w:tc>
      </w:tr>
      <w:tr>
        <w:trPr>
          <w:trHeight w:val="270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 - инвалиды Инвалиды I группы (с детства)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12 432,44 руб.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случаю потери кормильца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 до 18 лет, потерявшие одного родителя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5 180,24 руб.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Дети, потерявшие обоих родителей (дети, умершей одинокой матери)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10 360,52 руб.</w:t>
            </w:r>
            <w:r/>
          </w:p>
        </w:tc>
      </w:tr>
      <w:tr>
        <w:trPr>
          <w:trHeight w:val="225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25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Дети, оба родителя которых неизвестны 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3" w:hRule="atLeast"/>
        </w:trPr>
        <w:tc>
          <w:tcPr>
            <w:tcW w:w="75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Дети, оба родителя которых неизвестны</w:t>
            </w:r>
            <w:r/>
          </w:p>
        </w:tc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10 360,52 руб.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sz w:val="24"/>
          <w:szCs w:val="24"/>
          <w:lang w:val="en-US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ED5-3F43-4C09-9D02-B3EBC66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LibreOffice/4.3.2.2$Windows_x86 LibreOffice_project/edfb5295ba211bd31ad47d0bad0118690f76407d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2018-07-31T13:00:00Z</dcterms:created>
  <dc:creator>Admin</dc:creator>
  <dc:language>ru-RU</dc:language>
  <cp:lastPrinted>2018-08-03T07:08:00Z</cp:lastPrinted>
  <dcterms:modified xsi:type="dcterms:W3CDTF">2018-08-08T17:27:52Z</dcterms:modified>
  <cp:revision>6</cp:revision>
</cp:coreProperties>
</file>